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6DB4" w14:textId="1F0FF853" w:rsidR="00D257ED" w:rsidRDefault="00355A0E" w:rsidP="0021403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GREAT GLEMHAM PARISH COUNCIL</w:t>
      </w:r>
    </w:p>
    <w:p w14:paraId="65F1CBF3" w14:textId="11C9E7FE" w:rsidR="00355A0E" w:rsidRPr="000837EB" w:rsidRDefault="00355A0E" w:rsidP="0021403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FINANCIAL RESERVES POLICY</w:t>
      </w:r>
    </w:p>
    <w:p w14:paraId="0352C35D" w14:textId="77777777" w:rsidR="00214036" w:rsidRPr="00F14140" w:rsidRDefault="00214036" w:rsidP="00D257ED">
      <w:pPr>
        <w:rPr>
          <w:rFonts w:ascii="Arial" w:hAnsi="Arial" w:cs="Arial"/>
          <w:sz w:val="24"/>
          <w:szCs w:val="24"/>
        </w:rPr>
      </w:pPr>
    </w:p>
    <w:p w14:paraId="379975D2" w14:textId="22932DDA" w:rsidR="00D257ED" w:rsidRPr="00F14140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F14140">
        <w:rPr>
          <w:rFonts w:ascii="Arial" w:hAnsi="Arial" w:cs="Arial"/>
          <w:b/>
          <w:bCs/>
          <w:sz w:val="24"/>
          <w:szCs w:val="24"/>
        </w:rPr>
        <w:t xml:space="preserve">1. Introduction </w:t>
      </w:r>
    </w:p>
    <w:p w14:paraId="67838AB4" w14:textId="0193982F" w:rsidR="00D257ED" w:rsidRPr="00214036" w:rsidRDefault="00FA3F18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>Great Glemham</w:t>
      </w:r>
      <w:r w:rsidR="00D257ED" w:rsidRPr="00214036">
        <w:rPr>
          <w:rFonts w:ascii="Arial" w:hAnsi="Arial" w:cs="Arial"/>
        </w:rPr>
        <w:t xml:space="preserve"> Parish Council is required to manage its financial resources responsibly to ensure it can meet its obligations, maintain financial stability, and support future service delivery. </w:t>
      </w:r>
    </w:p>
    <w:p w14:paraId="401BEFA7" w14:textId="1C35E704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>The purpose of this policy is to set out the principles by which the Council determines,</w:t>
      </w:r>
      <w:r w:rsidR="00FA3F18" w:rsidRPr="00214036">
        <w:rPr>
          <w:rFonts w:ascii="Arial" w:hAnsi="Arial" w:cs="Arial"/>
        </w:rPr>
        <w:t xml:space="preserve"> </w:t>
      </w:r>
      <w:r w:rsidRPr="00214036">
        <w:rPr>
          <w:rFonts w:ascii="Arial" w:hAnsi="Arial" w:cs="Arial"/>
        </w:rPr>
        <w:t xml:space="preserve">maintains, and reviews its financial reserves. </w:t>
      </w:r>
    </w:p>
    <w:p w14:paraId="4CCF83A7" w14:textId="2E866C61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recognises the guidance of the </w:t>
      </w:r>
      <w:r w:rsidR="00A56866" w:rsidRPr="00A56866">
        <w:rPr>
          <w:rFonts w:ascii="Arial" w:hAnsi="Arial" w:cs="Arial"/>
        </w:rPr>
        <w:t>Smaller Authorities Proper Practices Panel (SAPPP)</w:t>
      </w:r>
      <w:r w:rsidRPr="00214036">
        <w:rPr>
          <w:rFonts w:ascii="Arial" w:hAnsi="Arial" w:cs="Arial"/>
        </w:rPr>
        <w:t>,</w:t>
      </w:r>
      <w:r w:rsidR="00A56866">
        <w:rPr>
          <w:rFonts w:ascii="Arial" w:hAnsi="Arial" w:cs="Arial"/>
        </w:rPr>
        <w:t xml:space="preserve"> and the Practitioners Guide</w:t>
      </w:r>
      <w:r w:rsidRPr="00214036">
        <w:rPr>
          <w:rFonts w:ascii="Arial" w:hAnsi="Arial" w:cs="Arial"/>
        </w:rPr>
        <w:t xml:space="preserve"> which states that authorities should hold adequate reserves to: </w:t>
      </w:r>
    </w:p>
    <w:p w14:paraId="4FFA725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support day-to-day operations </w:t>
      </w:r>
    </w:p>
    <w:p w14:paraId="560130D2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manage financial risks </w:t>
      </w:r>
    </w:p>
    <w:p w14:paraId="06BAD17E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plan for future expenditure </w:t>
      </w:r>
    </w:p>
    <w:p w14:paraId="49CB215F" w14:textId="0335A830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level of reserves must be proportionate to the Council’s activities and should not be excessive, given that funds are raised through local taxation. </w:t>
      </w:r>
    </w:p>
    <w:p w14:paraId="7E548948" w14:textId="15F3111D" w:rsidR="00D257ED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In accordance with the Local Government Finance Act 1992, the Council must have regard to the level of reserves when setting its annual budget and precept. </w:t>
      </w:r>
    </w:p>
    <w:p w14:paraId="787BAF41" w14:textId="77777777" w:rsidR="00F14140" w:rsidRPr="00214036" w:rsidRDefault="00F14140" w:rsidP="00D257ED">
      <w:pPr>
        <w:rPr>
          <w:rFonts w:ascii="Arial" w:hAnsi="Arial" w:cs="Arial"/>
        </w:rPr>
      </w:pPr>
    </w:p>
    <w:p w14:paraId="0C237D61" w14:textId="77777777" w:rsidR="00D257ED" w:rsidRPr="000837EB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0837EB">
        <w:rPr>
          <w:rFonts w:ascii="Arial" w:hAnsi="Arial" w:cs="Arial"/>
          <w:b/>
          <w:bCs/>
          <w:sz w:val="24"/>
          <w:szCs w:val="24"/>
        </w:rPr>
        <w:t xml:space="preserve">2. Types of Reserves </w:t>
      </w:r>
    </w:p>
    <w:p w14:paraId="488DAD3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maintains two main categories of reserves: </w:t>
      </w:r>
    </w:p>
    <w:p w14:paraId="7E3AA237" w14:textId="77777777" w:rsidR="00D257ED" w:rsidRPr="00214036" w:rsidRDefault="00D257ED" w:rsidP="00D257ED">
      <w:pPr>
        <w:rPr>
          <w:rFonts w:ascii="Arial" w:hAnsi="Arial" w:cs="Arial"/>
          <w:b/>
          <w:bCs/>
        </w:rPr>
      </w:pPr>
      <w:r w:rsidRPr="00214036">
        <w:rPr>
          <w:rFonts w:ascii="Arial" w:hAnsi="Arial" w:cs="Arial"/>
          <w:b/>
          <w:bCs/>
        </w:rPr>
        <w:t xml:space="preserve">2.1 General Reserves </w:t>
      </w:r>
    </w:p>
    <w:p w14:paraId="2A6E21A0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General Reserves are funds that are not restricted for specific purposes. </w:t>
      </w:r>
    </w:p>
    <w:p w14:paraId="5E0CC48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They exist to: </w:t>
      </w:r>
    </w:p>
    <w:p w14:paraId="2ADC3ADF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manage uneven cash flow </w:t>
      </w:r>
    </w:p>
    <w:p w14:paraId="5DCB4FF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provide a buffer against unforeseen expenditure </w:t>
      </w:r>
    </w:p>
    <w:p w14:paraId="5BC746C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support financial stability </w:t>
      </w:r>
    </w:p>
    <w:p w14:paraId="06F2A21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help manage budget variations between years </w:t>
      </w:r>
    </w:p>
    <w:p w14:paraId="25416B3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General Reserves are held as part of the Council’s overall financial risk management strategy. </w:t>
      </w:r>
    </w:p>
    <w:p w14:paraId="63CF696E" w14:textId="0AAADAEF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level of General Reserves will be determined annually as part of the budget-setting process, </w:t>
      </w:r>
      <w:proofErr w:type="gramStart"/>
      <w:r w:rsidRPr="00214036">
        <w:rPr>
          <w:rFonts w:ascii="Arial" w:hAnsi="Arial" w:cs="Arial"/>
        </w:rPr>
        <w:t>taking into account</w:t>
      </w:r>
      <w:proofErr w:type="gramEnd"/>
      <w:r w:rsidRPr="00214036">
        <w:rPr>
          <w:rFonts w:ascii="Arial" w:hAnsi="Arial" w:cs="Arial"/>
        </w:rPr>
        <w:t xml:space="preserve">: </w:t>
      </w:r>
    </w:p>
    <w:p w14:paraId="270C955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Net Revenue Expenditure (NRE) </w:t>
      </w:r>
    </w:p>
    <w:p w14:paraId="2976DBB0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known financial risks </w:t>
      </w:r>
    </w:p>
    <w:p w14:paraId="4FD6B5AB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lastRenderedPageBreak/>
        <w:t xml:space="preserve">• planned capital or project expenditure </w:t>
      </w:r>
    </w:p>
    <w:p w14:paraId="7B044CF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cash flow requirements </w:t>
      </w:r>
    </w:p>
    <w:p w14:paraId="393BBBEF" w14:textId="48D9D8E1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will have regard to JPAG guidance, which recommends that General Reserves should be maintained at a proportionate level relative to Net Revenue Expenditure. </w:t>
      </w:r>
    </w:p>
    <w:p w14:paraId="43A582E3" w14:textId="77777777" w:rsidR="00D257ED" w:rsidRPr="000837EB" w:rsidRDefault="00D257ED" w:rsidP="00D257ED">
      <w:pPr>
        <w:rPr>
          <w:rFonts w:ascii="Arial" w:hAnsi="Arial" w:cs="Arial"/>
          <w:b/>
          <w:bCs/>
        </w:rPr>
      </w:pPr>
      <w:r w:rsidRPr="000837EB">
        <w:rPr>
          <w:rFonts w:ascii="Arial" w:hAnsi="Arial" w:cs="Arial"/>
          <w:b/>
          <w:bCs/>
        </w:rPr>
        <w:t xml:space="preserve">2.2 Earmarked Reserves (EMRs) </w:t>
      </w:r>
    </w:p>
    <w:p w14:paraId="3F9B07BF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Earmarked Reserves are funds held for specific, identified purposes. </w:t>
      </w:r>
    </w:p>
    <w:p w14:paraId="3984F69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Each EMR must: </w:t>
      </w:r>
    </w:p>
    <w:p w14:paraId="3CF4CE48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have a clear and approved purpose </w:t>
      </w:r>
    </w:p>
    <w:p w14:paraId="169A685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be established by resolution of the Council </w:t>
      </w:r>
    </w:p>
    <w:p w14:paraId="3CA09BD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be separately identified in financial records </w:t>
      </w:r>
    </w:p>
    <w:p w14:paraId="7886FAE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be reviewed annually </w:t>
      </w:r>
    </w:p>
    <w:p w14:paraId="6D53E5B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Typical purposes of EMRs may include: </w:t>
      </w:r>
    </w:p>
    <w:p w14:paraId="46A0F5C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asset replacement and maintenance planning </w:t>
      </w:r>
    </w:p>
    <w:p w14:paraId="28027C3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committed but unspent project funding </w:t>
      </w:r>
    </w:p>
    <w:p w14:paraId="0264DD92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known future liabilities </w:t>
      </w:r>
    </w:p>
    <w:p w14:paraId="7294E05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specific community or infrastructure projects </w:t>
      </w:r>
    </w:p>
    <w:p w14:paraId="54701DB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developer or restricted contributions where applicable </w:t>
      </w:r>
    </w:p>
    <w:p w14:paraId="24B9EF0E" w14:textId="4C1C722D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EMRs must only be used for the purpose for which they were established unless formally reallocated by Council resolution. </w:t>
      </w:r>
    </w:p>
    <w:p w14:paraId="0C14A1F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Where the original purpose of an EMR is no longer valid or necessary, the Council may: </w:t>
      </w:r>
    </w:p>
    <w:p w14:paraId="0E9624D9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reallocate funds to another EMR </w:t>
      </w:r>
    </w:p>
    <w:p w14:paraId="31106170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transfer funds to General Reserves </w:t>
      </w:r>
    </w:p>
    <w:p w14:paraId="5C76DFE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or apply funds to a different budget heading </w:t>
      </w:r>
    </w:p>
    <w:p w14:paraId="57786F11" w14:textId="77777777" w:rsidR="00D257ED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All such decisions must be formally approved by the Council. </w:t>
      </w:r>
    </w:p>
    <w:p w14:paraId="4CE4B1B0" w14:textId="77777777" w:rsidR="000837EB" w:rsidRPr="00214036" w:rsidRDefault="000837EB" w:rsidP="00D257ED">
      <w:pPr>
        <w:rPr>
          <w:rFonts w:ascii="Arial" w:hAnsi="Arial" w:cs="Arial"/>
        </w:rPr>
      </w:pPr>
    </w:p>
    <w:p w14:paraId="4249CA53" w14:textId="77777777" w:rsidR="00D257ED" w:rsidRPr="000837EB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0837EB">
        <w:rPr>
          <w:rFonts w:ascii="Arial" w:hAnsi="Arial" w:cs="Arial"/>
          <w:b/>
          <w:bCs/>
          <w:sz w:val="24"/>
          <w:szCs w:val="24"/>
        </w:rPr>
        <w:t xml:space="preserve">3. Establishment and Use of Reserves </w:t>
      </w:r>
    </w:p>
    <w:p w14:paraId="23E3A24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creation, amendment, or closure of any reserve must be: </w:t>
      </w:r>
    </w:p>
    <w:p w14:paraId="6ED451C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approved by resolution of the Council </w:t>
      </w:r>
    </w:p>
    <w:p w14:paraId="6251578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supported by a clear justification </w:t>
      </w:r>
    </w:p>
    <w:p w14:paraId="65974D4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recorded in Council minutes </w:t>
      </w:r>
    </w:p>
    <w:p w14:paraId="787C6CF7" w14:textId="77777777" w:rsidR="00D257ED" w:rsidRPr="000837EB" w:rsidRDefault="00D257ED" w:rsidP="00D257ED">
      <w:pPr>
        <w:rPr>
          <w:rFonts w:ascii="Arial" w:hAnsi="Arial" w:cs="Arial"/>
          <w:b/>
          <w:bCs/>
        </w:rPr>
      </w:pPr>
      <w:r w:rsidRPr="000837EB">
        <w:rPr>
          <w:rFonts w:ascii="Arial" w:hAnsi="Arial" w:cs="Arial"/>
          <w:b/>
          <w:bCs/>
        </w:rPr>
        <w:t xml:space="preserve">Reserves must be: </w:t>
      </w:r>
    </w:p>
    <w:p w14:paraId="586D273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reviewed at least annually </w:t>
      </w:r>
    </w:p>
    <w:p w14:paraId="6E85F03F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considered as part of the budget-setting process </w:t>
      </w:r>
    </w:p>
    <w:p w14:paraId="4BB441A9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lastRenderedPageBreak/>
        <w:t xml:space="preserve">• reported transparently in financial statements </w:t>
      </w:r>
    </w:p>
    <w:p w14:paraId="3DE2C3DF" w14:textId="77777777" w:rsidR="009639E9" w:rsidRPr="00214036" w:rsidRDefault="009639E9" w:rsidP="00D257ED">
      <w:pPr>
        <w:rPr>
          <w:rFonts w:ascii="Arial" w:hAnsi="Arial" w:cs="Arial"/>
        </w:rPr>
      </w:pPr>
    </w:p>
    <w:p w14:paraId="5D47C643" w14:textId="3CDE795D" w:rsidR="00D257ED" w:rsidRPr="000837EB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0837EB">
        <w:rPr>
          <w:rFonts w:ascii="Arial" w:hAnsi="Arial" w:cs="Arial"/>
          <w:b/>
          <w:bCs/>
          <w:sz w:val="24"/>
          <w:szCs w:val="24"/>
        </w:rPr>
        <w:t xml:space="preserve">4. Management and Review </w:t>
      </w:r>
    </w:p>
    <w:p w14:paraId="258DD853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Responsible Financial Officer (RFO) is responsible for: </w:t>
      </w:r>
    </w:p>
    <w:p w14:paraId="4DB0B5C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advising the Council on appropriate reserve levels </w:t>
      </w:r>
    </w:p>
    <w:p w14:paraId="0F3A740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monitoring reserve balances </w:t>
      </w:r>
    </w:p>
    <w:p w14:paraId="5081F720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ensuring correct classification of reserves </w:t>
      </w:r>
    </w:p>
    <w:p w14:paraId="54394CD8" w14:textId="4AF5F106" w:rsidR="009639E9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reporting reserve movements to Council </w:t>
      </w:r>
    </w:p>
    <w:p w14:paraId="0206BFEC" w14:textId="3F8108BF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Movements in reserves will be reported: </w:t>
      </w:r>
    </w:p>
    <w:p w14:paraId="57FD7B6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as part of regular financial reporting </w:t>
      </w:r>
    </w:p>
    <w:p w14:paraId="327400E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during budget monitoring </w:t>
      </w:r>
    </w:p>
    <w:p w14:paraId="275275C8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in the year-end accounting statements </w:t>
      </w:r>
    </w:p>
    <w:p w14:paraId="217D3C6B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will review its reserves annually as part of the budget and precept-setting </w:t>
      </w:r>
    </w:p>
    <w:p w14:paraId="716087C5" w14:textId="77777777" w:rsidR="006F6ACB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>process, having regard to its financial risks and operational needs</w:t>
      </w:r>
      <w:r w:rsidR="006F6ACB">
        <w:rPr>
          <w:rFonts w:ascii="Arial" w:hAnsi="Arial" w:cs="Arial"/>
        </w:rPr>
        <w:t>.</w:t>
      </w:r>
    </w:p>
    <w:p w14:paraId="5C83A8A4" w14:textId="30296EC7" w:rsidR="00D257ED" w:rsidRPr="00214036" w:rsidRDefault="006F6ACB" w:rsidP="006F6AC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Any accumulation of reserves to support a community project in the future must be clearly earmarked and </w:t>
      </w:r>
      <w:proofErr w:type="spellStart"/>
      <w:r>
        <w:rPr>
          <w:rFonts w:ascii="Arial" w:hAnsi="Arial" w:cs="Arial"/>
        </w:rPr>
        <w:t>minuted</w:t>
      </w:r>
      <w:proofErr w:type="spellEnd"/>
      <w:r>
        <w:rPr>
          <w:rFonts w:ascii="Arial" w:hAnsi="Arial" w:cs="Arial"/>
        </w:rPr>
        <w:t xml:space="preserve"> at the annual budget meeting.</w:t>
      </w:r>
    </w:p>
    <w:p w14:paraId="05A75862" w14:textId="77777777" w:rsidR="00D93064" w:rsidRDefault="00D93064" w:rsidP="00D257ED">
      <w:pPr>
        <w:rPr>
          <w:rFonts w:ascii="Arial" w:hAnsi="Arial" w:cs="Arial"/>
        </w:rPr>
      </w:pPr>
    </w:p>
    <w:p w14:paraId="41E97844" w14:textId="2EB8E148" w:rsidR="00D257ED" w:rsidRPr="00D93064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D93064">
        <w:rPr>
          <w:rFonts w:ascii="Arial" w:hAnsi="Arial" w:cs="Arial"/>
          <w:b/>
          <w:bCs/>
          <w:sz w:val="24"/>
          <w:szCs w:val="24"/>
        </w:rPr>
        <w:t xml:space="preserve">5. Use of Reserves </w:t>
      </w:r>
    </w:p>
    <w:p w14:paraId="34B796A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Reserves may only be used: </w:t>
      </w:r>
    </w:p>
    <w:p w14:paraId="021A74B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in accordance with their designated purpose (EMRs), or </w:t>
      </w:r>
    </w:p>
    <w:p w14:paraId="4BFD066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for general financial stability (General Reserves) </w:t>
      </w:r>
    </w:p>
    <w:p w14:paraId="44EB301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use of reserves must: </w:t>
      </w:r>
    </w:p>
    <w:p w14:paraId="0DA0428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be approved by Council resolution </w:t>
      </w:r>
    </w:p>
    <w:p w14:paraId="58246DD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be properly recorded in financial statements </w:t>
      </w:r>
    </w:p>
    <w:p w14:paraId="08977BB3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comply with proper accounting practices </w:t>
      </w:r>
    </w:p>
    <w:p w14:paraId="108DD71C" w14:textId="77777777" w:rsidR="00D93064" w:rsidRPr="00D93064" w:rsidRDefault="00D93064" w:rsidP="00D257ED">
      <w:pPr>
        <w:rPr>
          <w:rFonts w:ascii="Arial" w:hAnsi="Arial" w:cs="Arial"/>
          <w:b/>
          <w:bCs/>
          <w:sz w:val="24"/>
          <w:szCs w:val="24"/>
        </w:rPr>
      </w:pPr>
    </w:p>
    <w:p w14:paraId="36712F49" w14:textId="66E8EB0A" w:rsidR="00D257ED" w:rsidRPr="00D93064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D93064">
        <w:rPr>
          <w:rFonts w:ascii="Arial" w:hAnsi="Arial" w:cs="Arial"/>
          <w:b/>
          <w:bCs/>
          <w:sz w:val="24"/>
          <w:szCs w:val="24"/>
        </w:rPr>
        <w:t xml:space="preserve">6. Financial Risk and Stability </w:t>
      </w:r>
    </w:p>
    <w:p w14:paraId="2F2FD24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will maintain reserves at a level that reflects: </w:t>
      </w:r>
    </w:p>
    <w:p w14:paraId="58A2773C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its size and financial complexity </w:t>
      </w:r>
    </w:p>
    <w:p w14:paraId="6BC50E4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variability of income and expenditure </w:t>
      </w:r>
    </w:p>
    <w:p w14:paraId="01C2106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exposure to financial risks </w:t>
      </w:r>
    </w:p>
    <w:p w14:paraId="0CFB8833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obligations under relevant legislation </w:t>
      </w:r>
    </w:p>
    <w:p w14:paraId="28A4C50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lastRenderedPageBreak/>
        <w:t xml:space="preserve">Reserves are not intended to fund ongoing operational deficits but to ensure financial </w:t>
      </w:r>
    </w:p>
    <w:p w14:paraId="5427665D" w14:textId="77777777" w:rsidR="00D257ED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resilience. </w:t>
      </w:r>
    </w:p>
    <w:p w14:paraId="2B45342A" w14:textId="77777777" w:rsidR="00D93064" w:rsidRPr="00214036" w:rsidRDefault="00D93064" w:rsidP="00D257ED">
      <w:pPr>
        <w:rPr>
          <w:rFonts w:ascii="Arial" w:hAnsi="Arial" w:cs="Arial"/>
        </w:rPr>
      </w:pPr>
    </w:p>
    <w:p w14:paraId="068EDDA9" w14:textId="77777777" w:rsidR="00D257ED" w:rsidRPr="00D93064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D93064">
        <w:rPr>
          <w:rFonts w:ascii="Arial" w:hAnsi="Arial" w:cs="Arial"/>
          <w:b/>
          <w:bCs/>
          <w:sz w:val="24"/>
          <w:szCs w:val="24"/>
        </w:rPr>
        <w:t xml:space="preserve">7. Transparency and Reporting </w:t>
      </w:r>
    </w:p>
    <w:p w14:paraId="31DA4C5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will ensure that reserves are: </w:t>
      </w:r>
    </w:p>
    <w:p w14:paraId="458AB26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transparently reported in annual accounts </w:t>
      </w:r>
    </w:p>
    <w:p w14:paraId="74EB61D9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clearly distinguished between General and Earmarked Reserves </w:t>
      </w:r>
    </w:p>
    <w:p w14:paraId="0515BDC4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subject to audit review as part of the Annual Governance and Accountability Return </w:t>
      </w:r>
    </w:p>
    <w:p w14:paraId="2E1DCC77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(AGAR) process </w:t>
      </w:r>
    </w:p>
    <w:p w14:paraId="4839B6EA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This supports compliance with proper practices guidance issued by JPAG and audit </w:t>
      </w:r>
    </w:p>
    <w:p w14:paraId="13932E52" w14:textId="77777777" w:rsidR="00D93064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>requirements.</w:t>
      </w:r>
    </w:p>
    <w:p w14:paraId="692B05FF" w14:textId="792ECD9E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 </w:t>
      </w:r>
    </w:p>
    <w:p w14:paraId="3292036B" w14:textId="77777777" w:rsidR="00D257ED" w:rsidRPr="00D93064" w:rsidRDefault="00D257ED" w:rsidP="00D257ED">
      <w:pPr>
        <w:rPr>
          <w:rFonts w:ascii="Arial" w:hAnsi="Arial" w:cs="Arial"/>
          <w:b/>
          <w:bCs/>
          <w:sz w:val="24"/>
          <w:szCs w:val="24"/>
        </w:rPr>
      </w:pPr>
      <w:r w:rsidRPr="00D93064">
        <w:rPr>
          <w:rFonts w:ascii="Arial" w:hAnsi="Arial" w:cs="Arial"/>
          <w:b/>
          <w:bCs/>
          <w:sz w:val="24"/>
          <w:szCs w:val="24"/>
        </w:rPr>
        <w:t xml:space="preserve">8. Policy Review </w:t>
      </w:r>
    </w:p>
    <w:p w14:paraId="2699FC69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This policy will be reviewed annually as part of the budget-setting process or earlier if </w:t>
      </w:r>
    </w:p>
    <w:p w14:paraId="7C75082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required due to: </w:t>
      </w:r>
    </w:p>
    <w:p w14:paraId="30C5DED6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changes in legislation </w:t>
      </w:r>
    </w:p>
    <w:p w14:paraId="32029388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updated JPAG guidance </w:t>
      </w:r>
    </w:p>
    <w:p w14:paraId="27E28F71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changes in Council financial risk profile </w:t>
      </w:r>
    </w:p>
    <w:p w14:paraId="39A59D05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The Council will continue to have regard to: </w:t>
      </w:r>
    </w:p>
    <w:p w14:paraId="2185A0C9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Local Government Finance Act 1992 </w:t>
      </w:r>
    </w:p>
    <w:p w14:paraId="1E75FBF0" w14:textId="77777777" w:rsidR="00D257ED" w:rsidRPr="00214036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 xml:space="preserve">• guidance issued by the Joint Panel on Accountability and Governance </w:t>
      </w:r>
    </w:p>
    <w:p w14:paraId="2D6CB438" w14:textId="2F4EF384" w:rsidR="00AA3214" w:rsidRDefault="00D257ED" w:rsidP="00D257ED">
      <w:pPr>
        <w:rPr>
          <w:rFonts w:ascii="Arial" w:hAnsi="Arial" w:cs="Arial"/>
        </w:rPr>
      </w:pPr>
      <w:r w:rsidRPr="00214036">
        <w:rPr>
          <w:rFonts w:ascii="Arial" w:hAnsi="Arial" w:cs="Arial"/>
        </w:rPr>
        <w:t>• relevant audit and accounting requirements</w:t>
      </w:r>
    </w:p>
    <w:p w14:paraId="067F1D74" w14:textId="77777777" w:rsidR="00BC6BA8" w:rsidRDefault="00BC6BA8" w:rsidP="00D257ED">
      <w:pPr>
        <w:rPr>
          <w:rFonts w:ascii="Arial" w:hAnsi="Arial" w:cs="Arial"/>
        </w:rPr>
      </w:pPr>
    </w:p>
    <w:p w14:paraId="01E27F83" w14:textId="51CAAA77" w:rsidR="00BC6BA8" w:rsidRDefault="00BC6BA8" w:rsidP="00D257ED">
      <w:pPr>
        <w:rPr>
          <w:rFonts w:ascii="Arial" w:hAnsi="Arial" w:cs="Arial"/>
        </w:rPr>
      </w:pPr>
      <w:r>
        <w:rPr>
          <w:rFonts w:ascii="Arial" w:hAnsi="Arial" w:cs="Arial"/>
        </w:rPr>
        <w:t>Adopted ….</w:t>
      </w:r>
      <w:r w:rsidR="003B0306">
        <w:rPr>
          <w:rFonts w:ascii="Arial" w:hAnsi="Arial" w:cs="Arial"/>
        </w:rPr>
        <w:t>15</w:t>
      </w:r>
      <w:r w:rsidR="003B0306" w:rsidRPr="003B0306">
        <w:rPr>
          <w:rFonts w:ascii="Arial" w:hAnsi="Arial" w:cs="Arial"/>
          <w:vertAlign w:val="superscript"/>
        </w:rPr>
        <w:t>th</w:t>
      </w:r>
      <w:r w:rsidR="003B0306">
        <w:rPr>
          <w:rFonts w:ascii="Arial" w:hAnsi="Arial" w:cs="Arial"/>
        </w:rPr>
        <w:t xml:space="preserve"> September 2026</w:t>
      </w:r>
    </w:p>
    <w:p w14:paraId="500C6714" w14:textId="2CF483AB" w:rsidR="00BC6BA8" w:rsidRPr="00214036" w:rsidRDefault="00BC6BA8" w:rsidP="00D257E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Minuted</w:t>
      </w:r>
      <w:proofErr w:type="spellEnd"/>
      <w:r>
        <w:rPr>
          <w:rFonts w:ascii="Arial" w:hAnsi="Arial" w:cs="Arial"/>
        </w:rPr>
        <w:t xml:space="preserve"> ….</w:t>
      </w:r>
    </w:p>
    <w:sectPr w:rsidR="00BC6BA8" w:rsidRPr="00214036" w:rsidSect="00AD46C4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901AD" w14:textId="77777777" w:rsidR="00096963" w:rsidRDefault="00096963" w:rsidP="00AD46C4">
      <w:pPr>
        <w:spacing w:after="0" w:line="240" w:lineRule="auto"/>
      </w:pPr>
      <w:r>
        <w:separator/>
      </w:r>
    </w:p>
  </w:endnote>
  <w:endnote w:type="continuationSeparator" w:id="0">
    <w:p w14:paraId="7B222AFE" w14:textId="77777777" w:rsidR="00096963" w:rsidRDefault="00096963" w:rsidP="00AD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8A48" w14:textId="6642EB49" w:rsidR="00AD46C4" w:rsidRPr="00AD46C4" w:rsidRDefault="00AD46C4">
    <w:pPr>
      <w:pStyle w:val="Footer"/>
      <w:rPr>
        <w:lang w:val="en-US"/>
      </w:rPr>
    </w:pPr>
    <w:r>
      <w:rPr>
        <w:lang w:val="en-US"/>
      </w:rPr>
      <w:t>Adopted 15</w:t>
    </w:r>
    <w:r w:rsidRPr="00AD46C4">
      <w:rPr>
        <w:vertAlign w:val="superscript"/>
        <w:lang w:val="en-US"/>
      </w:rPr>
      <w:t>th</w:t>
    </w:r>
    <w:r>
      <w:rPr>
        <w:lang w:val="en-US"/>
      </w:rPr>
      <w:t xml:space="preserve"> September 2026. Date of next review – September 2027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70A80" w14:textId="77777777" w:rsidR="00096963" w:rsidRDefault="00096963" w:rsidP="00AD46C4">
      <w:pPr>
        <w:spacing w:after="0" w:line="240" w:lineRule="auto"/>
      </w:pPr>
      <w:r>
        <w:separator/>
      </w:r>
    </w:p>
  </w:footnote>
  <w:footnote w:type="continuationSeparator" w:id="0">
    <w:p w14:paraId="24BE6240" w14:textId="77777777" w:rsidR="00096963" w:rsidRDefault="00096963" w:rsidP="00AD46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ED"/>
    <w:rsid w:val="000837EB"/>
    <w:rsid w:val="00096963"/>
    <w:rsid w:val="00106B8D"/>
    <w:rsid w:val="00214036"/>
    <w:rsid w:val="002C4E02"/>
    <w:rsid w:val="00354BF2"/>
    <w:rsid w:val="00355A0E"/>
    <w:rsid w:val="00357639"/>
    <w:rsid w:val="003B0306"/>
    <w:rsid w:val="004469D3"/>
    <w:rsid w:val="0057235A"/>
    <w:rsid w:val="006B69D6"/>
    <w:rsid w:val="006F6ACB"/>
    <w:rsid w:val="009639E9"/>
    <w:rsid w:val="00A56866"/>
    <w:rsid w:val="00AA3214"/>
    <w:rsid w:val="00AD46C4"/>
    <w:rsid w:val="00BC6BA8"/>
    <w:rsid w:val="00C13FDA"/>
    <w:rsid w:val="00CF381B"/>
    <w:rsid w:val="00D257ED"/>
    <w:rsid w:val="00D653F2"/>
    <w:rsid w:val="00D93064"/>
    <w:rsid w:val="00EC2885"/>
    <w:rsid w:val="00F14140"/>
    <w:rsid w:val="00F9719D"/>
    <w:rsid w:val="00FA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550B1"/>
  <w15:chartTrackingRefBased/>
  <w15:docId w15:val="{9DD58259-5294-49F6-AC67-4B99520C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036"/>
  </w:style>
  <w:style w:type="paragraph" w:styleId="Heading1">
    <w:name w:val="heading 1"/>
    <w:basedOn w:val="Normal"/>
    <w:next w:val="Normal"/>
    <w:link w:val="Heading1Char"/>
    <w:uiPriority w:val="9"/>
    <w:qFormat/>
    <w:rsid w:val="0021403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3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3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3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3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3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36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36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36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036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3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36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36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36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36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36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36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36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1403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14036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36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036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036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214036"/>
    <w:rPr>
      <w:rFonts w:asciiTheme="majorHAnsi" w:eastAsiaTheme="majorEastAsia" w:hAnsiTheme="majorHAnsi" w:cstheme="majorBidi"/>
      <w:sz w:val="25"/>
      <w:szCs w:val="25"/>
    </w:rPr>
  </w:style>
  <w:style w:type="paragraph" w:styleId="ListParagraph">
    <w:name w:val="List Paragraph"/>
    <w:basedOn w:val="Normal"/>
    <w:uiPriority w:val="34"/>
    <w:qFormat/>
    <w:rsid w:val="00D257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036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36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36"/>
    <w:rPr>
      <w:color w:val="404040" w:themeColor="text1" w:themeTint="BF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214036"/>
    <w:rPr>
      <w:b/>
      <w:bCs/>
      <w:caps w:val="0"/>
      <w:smallCaps/>
      <w:color w:val="auto"/>
      <w:spacing w:val="3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4036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214036"/>
    <w:rPr>
      <w:b/>
      <w:bCs/>
    </w:rPr>
  </w:style>
  <w:style w:type="character" w:styleId="Emphasis">
    <w:name w:val="Emphasis"/>
    <w:basedOn w:val="DefaultParagraphFont"/>
    <w:uiPriority w:val="20"/>
    <w:qFormat/>
    <w:rsid w:val="00214036"/>
    <w:rPr>
      <w:i/>
      <w:iCs/>
    </w:rPr>
  </w:style>
  <w:style w:type="paragraph" w:styleId="NoSpacing">
    <w:name w:val="No Spacing"/>
    <w:uiPriority w:val="1"/>
    <w:qFormat/>
    <w:rsid w:val="00214036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14036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14036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14036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4036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D46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6C4"/>
  </w:style>
  <w:style w:type="paragraph" w:styleId="Footer">
    <w:name w:val="footer"/>
    <w:basedOn w:val="Normal"/>
    <w:link w:val="FooterChar"/>
    <w:uiPriority w:val="99"/>
    <w:unhideWhenUsed/>
    <w:rsid w:val="00AD46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4568</Characters>
  <Application>Microsoft Office Word</Application>
  <DocSecurity>0</DocSecurity>
  <Lines>38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Grogan</dc:creator>
  <cp:keywords/>
  <dc:description/>
  <cp:lastModifiedBy>Suzanne Grogan</cp:lastModifiedBy>
  <cp:revision>2</cp:revision>
  <dcterms:created xsi:type="dcterms:W3CDTF">2026-10-20T10:24:00Z</dcterms:created>
  <dcterms:modified xsi:type="dcterms:W3CDTF">2026-10-20T10:24:00Z</dcterms:modified>
</cp:coreProperties>
</file>